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highlight w:val="white"/>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CONNECTICUT</w:t>
      </w:r>
      <w:r w:rsidDel="00000000" w:rsidR="00000000" w:rsidRPr="00000000">
        <w:rPr>
          <w:rtl w:val="0"/>
        </w:rPr>
      </w:r>
    </w:p>
    <w:p w:rsidR="00000000" w:rsidDel="00000000" w:rsidP="00000000" w:rsidRDefault="00000000" w:rsidRPr="00000000" w14:paraId="00000198">
      <w:pPr>
        <w:widowControl w:val="0"/>
        <w:spacing w:before="225" w:line="240" w:lineRule="auto"/>
        <w:ind w:left="25" w:firstLine="0"/>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as permitted by outbound state’s law (Conn. Gen. Stat. § 30-16(a)).  </w:t>
      </w:r>
    </w:p>
    <w:p w:rsidR="00000000" w:rsidDel="00000000" w:rsidP="00000000" w:rsidRDefault="00000000" w:rsidRPr="00000000" w14:paraId="00000199">
      <w:pPr>
        <w:widowControl w:val="0"/>
        <w:spacing w:before="225" w:line="223" w:lineRule="auto"/>
        <w:ind w:left="22" w:right="6"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however, a consumer may obtain a permit to import up to 5 gallons of alcohol for personal consumption in a 60-day period (Conn. Gen. Stat. § 12-436(b)(2)(A); (B)(i)).  </w:t>
      </w:r>
    </w:p>
    <w:p w:rsidR="00000000" w:rsidDel="00000000" w:rsidP="00000000" w:rsidRDefault="00000000" w:rsidRPr="00000000" w14:paraId="0000019A">
      <w:pPr>
        <w:widowControl w:val="0"/>
        <w:spacing w:before="239" w:line="228" w:lineRule="auto"/>
        <w:ind w:left="22" w:right="5"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but a holder of a manufacturer permit for spirits who produces less than 50,000 gallons of spirits in a year may sell to customers on their premises for off-premises consumption (Conn. Gen. Stat. § 30-16(a)).</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t>
      </w:r>
    </w:p>
    <w:p w:rsidR="00000000" w:rsidDel="00000000" w:rsidP="00000000" w:rsidRDefault="00000000" w:rsidRPr="00000000" w14:paraId="0000019B">
      <w:pPr>
        <w:widowControl w:val="0"/>
        <w:spacing w:before="235" w:line="228" w:lineRule="auto"/>
        <w:ind w:left="22" w:right="4"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The state has released various COVID-19 relief measures, but none relating to manufacturers and shipment of alcohol. The relief measures concern the serving of alcohol at food establishments and avoiding consumption of alcohol in bars. </w:t>
      </w:r>
      <w:r w:rsidDel="00000000" w:rsidR="00000000" w:rsidRPr="00000000">
        <w:rPr>
          <w:rFonts w:ascii="Calibri" w:cs="Calibri" w:eastAsia="Calibri" w:hAnsi="Calibri"/>
          <w:rtl w:val="0"/>
        </w:rPr>
        <w:t xml:space="preserve">These measures remained in effect through May 20, 2021.</w:t>
      </w:r>
    </w:p>
    <w:p w:rsidR="00000000" w:rsidDel="00000000" w:rsidP="00000000" w:rsidRDefault="00000000" w:rsidRPr="00000000" w14:paraId="0000019C">
      <w:pPr>
        <w:widowControl w:val="0"/>
        <w:spacing w:before="235" w:line="240" w:lineRule="auto"/>
        <w:ind w:left="23"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D">
      <w:pPr>
        <w:widowControl w:val="0"/>
        <w:spacing w:before="225" w:line="223" w:lineRule="auto"/>
        <w:ind w:left="22" w:right="5" w:firstLine="0"/>
        <w:rPr>
          <w:rFonts w:ascii="Calibri" w:cs="Calibri" w:eastAsia="Calibri" w:hAnsi="Calibri"/>
          <w:b w:val="1"/>
        </w:rPr>
      </w:pPr>
      <w:r w:rsidDel="00000000" w:rsidR="00000000" w:rsidRPr="00000000">
        <w:rPr>
          <w:rFonts w:ascii="Calibri" w:cs="Calibri" w:eastAsia="Calibri" w:hAnsi="Calibri"/>
          <w:b w:val="1"/>
          <w:rtl w:val="0"/>
        </w:rPr>
        <w:t xml:space="preserve">Conn. Gen. Stat. § 12-436. Distributor’s license. Importation of alcoholic beverages. Invoices. Shipment into military reservation. </w:t>
      </w:r>
    </w:p>
    <w:p w:rsidR="00000000" w:rsidDel="00000000" w:rsidP="00000000" w:rsidRDefault="00000000" w:rsidRPr="00000000" w14:paraId="0000019E">
      <w:pPr>
        <w:widowControl w:val="0"/>
        <w:spacing w:before="8" w:line="228" w:lineRule="auto"/>
        <w:ind w:left="15" w:right="2" w:firstLine="7.999999999999998"/>
        <w:jc w:val="both"/>
        <w:rPr>
          <w:rFonts w:ascii="Calibri" w:cs="Calibri" w:eastAsia="Calibri" w:hAnsi="Calibri"/>
        </w:rPr>
      </w:pPr>
      <w:r w:rsidDel="00000000" w:rsidR="00000000" w:rsidRPr="00000000">
        <w:rPr>
          <w:rFonts w:ascii="Calibri" w:cs="Calibri" w:eastAsia="Calibri" w:hAnsi="Calibri"/>
          <w:rtl w:val="0"/>
        </w:rPr>
        <w:t xml:space="preserve">(b) (1) No person, except a licensed distributor and railroad or airline companies so far as they conduct such beverage business in cars or passenger trains or airplanes, shall sell any alcoholic beverages in this state or possess beverages with intent to sell, unless such beverages have previously been subject to the tax imposed by this chapter.</w:t>
      </w:r>
    </w:p>
    <w:p w:rsidR="00000000" w:rsidDel="00000000" w:rsidP="00000000" w:rsidRDefault="00000000" w:rsidRPr="00000000" w14:paraId="0000019F">
      <w:pPr>
        <w:widowControl w:val="0"/>
        <w:spacing w:before="8" w:line="228" w:lineRule="auto"/>
        <w:ind w:left="15" w:right="2" w:firstLine="7.999999999999998"/>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widowControl w:val="0"/>
        <w:spacing w:before="8" w:line="228" w:lineRule="auto"/>
        <w:ind w:left="15" w:right="2" w:firstLine="7.999999999999998"/>
        <w:jc w:val="both"/>
        <w:rPr>
          <w:rFonts w:ascii="Calibri" w:cs="Calibri" w:eastAsia="Calibri" w:hAnsi="Calibri"/>
        </w:rPr>
      </w:pPr>
      <w:r w:rsidDel="00000000" w:rsidR="00000000" w:rsidRPr="00000000">
        <w:rPr>
          <w:rFonts w:ascii="Calibri" w:cs="Calibri" w:eastAsia="Calibri" w:hAnsi="Calibri"/>
          <w:rtl w:val="0"/>
        </w:rPr>
        <w:t xml:space="preserve">(2) (A) Except as otherwise provided in this subdivision and sections 30-18 and 30-18a, no person shall ship, transport or import alcoholic beverages into this state unless such alcoholic beverages are delivered to a licensed distributor or to an internal revenue or United States customs bonded warehouse under regulations prescribed by the Commissioner of Revenue Services, or are transported in bonded trucks to vessels in Connecticut ports for export. </w:t>
      </w:r>
    </w:p>
    <w:p w:rsidR="00000000" w:rsidDel="00000000" w:rsidP="00000000" w:rsidRDefault="00000000" w:rsidRPr="00000000" w14:paraId="000001A1">
      <w:pPr>
        <w:widowControl w:val="0"/>
        <w:spacing w:before="8" w:line="228" w:lineRule="auto"/>
        <w:ind w:left="15" w:right="2" w:firstLine="7.999999999999998"/>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widowControl w:val="0"/>
        <w:spacing w:before="8" w:line="228" w:lineRule="auto"/>
        <w:ind w:left="15" w:right="2" w:firstLine="7.999999999999998"/>
        <w:jc w:val="both"/>
        <w:rPr>
          <w:rFonts w:ascii="Calibri" w:cs="Calibri" w:eastAsia="Calibri" w:hAnsi="Calibri"/>
        </w:rPr>
      </w:pPr>
      <w:r w:rsidDel="00000000" w:rsidR="00000000" w:rsidRPr="00000000">
        <w:rPr>
          <w:rFonts w:ascii="Calibri" w:cs="Calibri" w:eastAsia="Calibri" w:hAnsi="Calibri"/>
          <w:rtl w:val="0"/>
        </w:rPr>
        <w:t xml:space="preserve">(B) (i) Any individual may import alcoholic beverages purchased by such individual within the territorial limits of the United States to an amount not to exceed five gallons in any sixty-day period for such individual's own consumption, (ii) any individual may import alcoholic beverages, whether or not purchased by such individual, from outside the territorial limits of the United States to an amount not to exceed five gallons in any three-hundred-sixty-five-day period for such individual's own consumption, and (iii) any individual who has resided outside the United States for a period of six months or more may, on one occasion and in conjunction with the return of such individual's personal and household goods and effects upon the termination of such foreign residency, import wine to an amount not to exceed one hundred gallons, of which not more than twenty gallons shall be of the same brand and spirits not to exceed ten gallons of which not more than two gallons shall be of  the same brand, after making application in each such case to the Department of Revenue Services and presenting with the application a tax return prescribed by the Commissioner of Revenue Services and reporting the taxes under this chapter and  under chapter 219 for which the applicant is liable. Payment of such taxes shall accompany such application and tax return. A copy of the importation certificate issued by the Department of Revenue Services shall accompany each such shipment. </w:t>
      </w:r>
    </w:p>
    <w:p w:rsidR="00000000" w:rsidDel="00000000" w:rsidP="00000000" w:rsidRDefault="00000000" w:rsidRPr="00000000" w14:paraId="000001A3">
      <w:pPr>
        <w:widowControl w:val="0"/>
        <w:spacing w:before="5" w:line="240" w:lineRule="auto"/>
        <w:ind w:left="19" w:firstLine="0"/>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https://www.cga.ct.gov/current/pub/chap_220.htm#sec_12-436</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4">
      <w:pPr>
        <w:widowControl w:val="0"/>
        <w:spacing w:before="225" w:line="240" w:lineRule="auto"/>
        <w:ind w:left="23" w:firstLine="0"/>
        <w:rPr>
          <w:rFonts w:ascii="Calibri" w:cs="Calibri" w:eastAsia="Calibri" w:hAnsi="Calibri"/>
          <w:b w:val="1"/>
        </w:rPr>
      </w:pPr>
      <w:r w:rsidDel="00000000" w:rsidR="00000000" w:rsidRPr="00000000">
        <w:rPr>
          <w:rFonts w:ascii="Calibri" w:cs="Calibri" w:eastAsia="Calibri" w:hAnsi="Calibri"/>
          <w:b w:val="1"/>
          <w:rtl w:val="0"/>
        </w:rPr>
        <w:t xml:space="preserve">Conn. Gen. Stat. § 30-16. Manufacturer permit for spirits. Manufacturer permit for beer. Manufacturer permit for a farm winery. Manufacturer permit for wine, cider and mead. </w:t>
      </w:r>
    </w:p>
    <w:p w:rsidR="00000000" w:rsidDel="00000000" w:rsidP="00000000" w:rsidRDefault="00000000" w:rsidRPr="00000000" w14:paraId="000001A5">
      <w:pPr>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 A manufacturer permit for spirits shall allow the manufacture of spirits and the storage, bottling and wholesale distribution and sale of spirits manufactured or bottled to permittees in this state and without the state as may be permitted by law; but no such permit shall be granted unless the place or the plan of the place of manufacture has received the approval of the Department of Consumer Protection. The holder of a manufacturer permit for spirits who produces less than fifty thousand gallons of spirits in a calendar year may sell at retail from the premises sealed bottles or other sealed containers of spirits manufactured on the premises for consumption off the premises, provided such holder shall not sell to any one consumer more than three liters of spirits per day nor more than five gallons of spirits in any two-month period. Retail sales by a holder of a manufacturer permit for spirits shall occur only on the days and times permitted under subsection (d) of section 30-91. A holder of a manufacturer permit for spirits, alone or in combination with any parent or subsidiary business or related or affiliated party, who sells more than ten thousand gallons of spirits in any calendar year may not sell spirits at wholesale to retail permittees within this state. </w:t>
      </w:r>
      <w:r w:rsidDel="00000000" w:rsidR="00000000" w:rsidRPr="00000000">
        <w:rPr>
          <w:rFonts w:ascii="Calibri" w:cs="Calibri" w:eastAsia="Calibri" w:hAnsi="Calibri"/>
          <w:color w:val="000000"/>
          <w:highlight w:val="white"/>
          <w:rtl w:val="0"/>
        </w:rPr>
        <w:t xml:space="preserve">Such permit shall also authorize the offering and tasting, on the premises of the permittee, of free samples of spirits distilled on the premises. Such free samples of spirits distilled on the premises may be offered for consumption in combination with a nonalcoholic beverage. Tastings shall not exceed two ounces per patron per day and shall not be allowed on such premises on Sunday before eleven o'clock a.m. and after eight o'clock p.m. and on any other day before ten o'clock a.m. and after eight o'clock p.m. No tastings shall be offered to or allowed to be consumed by any minor or intoxicated person. A holder of a manufacturer permit for spirits may apply for and shall receive an out-of-state shipper's permit for manufacturing plants and warehouse locations outside the state owned by such manufacturer or a subsidiary corporation thereof, at least eighty-five per cent of the voting stock of which is owned by such manufacturer, to bring into any of its plants or warehouses in the state spirits for reprocessing, repackaging, reshipment or sale either (1) within the state to wholesaler permittees not owned or controlled by such manufacturer, or (2) outside the state. The annual fee for a manufacturer permit for spirits shall be one thousand eight hundred fifty dollars.</w:t>
      </w:r>
      <w:r w:rsidDel="00000000" w:rsidR="00000000" w:rsidRPr="00000000">
        <w:rPr>
          <w:rtl w:val="0"/>
        </w:rPr>
      </w:r>
    </w:p>
    <w:p w:rsidR="00000000" w:rsidDel="00000000" w:rsidP="00000000" w:rsidRDefault="00000000" w:rsidRPr="00000000" w14:paraId="000001A6">
      <w:pPr>
        <w:widowControl w:val="0"/>
        <w:spacing w:before="4" w:line="240" w:lineRule="auto"/>
        <w:ind w:left="19" w:firstLine="0"/>
        <w:rPr>
          <w:rFonts w:ascii="Calibri" w:cs="Calibri" w:eastAsia="Calibri" w:hAnsi="Calibri"/>
          <w:b w:val="1"/>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1155cc"/>
          <w:rtl w:val="0"/>
        </w:rPr>
        <w:t xml:space="preserve"> </w:t>
      </w:r>
      <w:hyperlink r:id="rId12">
        <w:r w:rsidDel="00000000" w:rsidR="00000000" w:rsidRPr="00000000">
          <w:rPr>
            <w:rFonts w:ascii="Calibri" w:cs="Calibri" w:eastAsia="Calibri" w:hAnsi="Calibri"/>
            <w:color w:val="1155cc"/>
            <w:u w:val="single"/>
            <w:rtl w:val="0"/>
          </w:rPr>
          <w:t xml:space="preserve">https://www.cga.ct.gov/current/pub/chap_545.htm#sec_30-16</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7">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A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9">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H.B. 6100, signed and enacted into law on June 7, 2021, does not permit direct-to-consumer shipping, but the legislation allows a holder of a manufacturer permit to deliver alcoholic liquor manufactured by such permittee through June 4, 2024. A delivery must be made by a direct employee of the permittee and not by a third-party vendor or entity unless the third-party vendor or entity holds an in-state transporter’s permit.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https://www.cga.ct.gov/2021/ACT/PA/PDF/2021PA-00037-R00HB-06100-PA.PDF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jc w:val="center"/>
      <w:rPr/>
    </w:pPr>
    <w:r w:rsidDel="00000000" w:rsidR="00000000" w:rsidRPr="00000000">
      <w:rPr/>
      <w:drawing>
        <wp:inline distB="114300" distT="114300" distL="114300" distR="114300">
          <wp:extent cx="870195" cy="947738"/>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AB1641"/>
    <w:rPr>
      <w:color w:val="0000ff" w:themeColor="hyperlink"/>
      <w:u w:val="single"/>
    </w:rPr>
  </w:style>
  <w:style w:type="character" w:styleId="UnresolvedMention">
    <w:name w:val="Unresolved Mention"/>
    <w:basedOn w:val="DefaultParagraphFont"/>
    <w:uiPriority w:val="99"/>
    <w:semiHidden w:val="1"/>
    <w:unhideWhenUsed w:val="1"/>
    <w:rsid w:val="00AB1641"/>
    <w:rPr>
      <w:color w:val="605e5c"/>
      <w:shd w:color="auto" w:fill="e1dfdd" w:val="clear"/>
    </w:rPr>
  </w:style>
  <w:style w:type="character" w:styleId="FollowedHyperlink">
    <w:name w:val="FollowedHyperlink"/>
    <w:basedOn w:val="DefaultParagraphFont"/>
    <w:uiPriority w:val="99"/>
    <w:semiHidden w:val="1"/>
    <w:unhideWhenUsed w:val="1"/>
    <w:rsid w:val="00AB1641"/>
    <w:rPr>
      <w:color w:val="800080" w:themeColor="followedHyperlink"/>
      <w:u w:val="single"/>
    </w:rPr>
  </w:style>
  <w:style w:type="character" w:styleId="CommentReference">
    <w:name w:val="annotation reference"/>
    <w:basedOn w:val="DefaultParagraphFont"/>
    <w:uiPriority w:val="99"/>
    <w:semiHidden w:val="1"/>
    <w:unhideWhenUsed w:val="1"/>
    <w:rsid w:val="00181674"/>
    <w:rPr>
      <w:sz w:val="16"/>
      <w:szCs w:val="16"/>
    </w:rPr>
  </w:style>
  <w:style w:type="paragraph" w:styleId="CommentText">
    <w:name w:val="annotation text"/>
    <w:basedOn w:val="Normal"/>
    <w:link w:val="CommentTextChar"/>
    <w:uiPriority w:val="99"/>
    <w:semiHidden w:val="1"/>
    <w:unhideWhenUsed w:val="1"/>
    <w:rsid w:val="00181674"/>
    <w:pPr>
      <w:spacing w:line="240" w:lineRule="auto"/>
    </w:pPr>
    <w:rPr>
      <w:sz w:val="20"/>
      <w:szCs w:val="20"/>
    </w:rPr>
  </w:style>
  <w:style w:type="character" w:styleId="CommentTextChar" w:customStyle="1">
    <w:name w:val="Comment Text Char"/>
    <w:basedOn w:val="DefaultParagraphFont"/>
    <w:link w:val="CommentText"/>
    <w:uiPriority w:val="99"/>
    <w:semiHidden w:val="1"/>
    <w:rsid w:val="00181674"/>
    <w:rPr>
      <w:sz w:val="20"/>
      <w:szCs w:val="20"/>
    </w:rPr>
  </w:style>
  <w:style w:type="paragraph" w:styleId="CommentSubject">
    <w:name w:val="annotation subject"/>
    <w:basedOn w:val="CommentText"/>
    <w:next w:val="CommentText"/>
    <w:link w:val="CommentSubjectChar"/>
    <w:uiPriority w:val="99"/>
    <w:semiHidden w:val="1"/>
    <w:unhideWhenUsed w:val="1"/>
    <w:rsid w:val="00181674"/>
    <w:rPr>
      <w:b w:val="1"/>
      <w:bCs w:val="1"/>
    </w:rPr>
  </w:style>
  <w:style w:type="character" w:styleId="CommentSubjectChar" w:customStyle="1">
    <w:name w:val="Comment Subject Char"/>
    <w:basedOn w:val="CommentTextChar"/>
    <w:link w:val="CommentSubject"/>
    <w:uiPriority w:val="99"/>
    <w:semiHidden w:val="1"/>
    <w:rsid w:val="00181674"/>
    <w:rPr>
      <w:b w:val="1"/>
      <w:bCs w:val="1"/>
      <w:sz w:val="20"/>
      <w:szCs w:val="20"/>
    </w:rPr>
  </w:style>
  <w:style w:type="paragraph" w:styleId="Header">
    <w:name w:val="header"/>
    <w:basedOn w:val="Normal"/>
    <w:link w:val="HeaderChar"/>
    <w:uiPriority w:val="99"/>
    <w:unhideWhenUsed w:val="1"/>
    <w:rsid w:val="00624B14"/>
    <w:pPr>
      <w:tabs>
        <w:tab w:val="center" w:pos="4680"/>
        <w:tab w:val="right" w:pos="9360"/>
      </w:tabs>
      <w:spacing w:line="240" w:lineRule="auto"/>
    </w:pPr>
  </w:style>
  <w:style w:type="character" w:styleId="HeaderChar" w:customStyle="1">
    <w:name w:val="Header Char"/>
    <w:basedOn w:val="DefaultParagraphFont"/>
    <w:link w:val="Header"/>
    <w:uiPriority w:val="99"/>
    <w:rsid w:val="00624B14"/>
  </w:style>
  <w:style w:type="paragraph" w:styleId="Footer">
    <w:name w:val="footer"/>
    <w:basedOn w:val="Normal"/>
    <w:link w:val="FooterChar"/>
    <w:uiPriority w:val="99"/>
    <w:unhideWhenUsed w:val="1"/>
    <w:rsid w:val="00624B14"/>
    <w:pPr>
      <w:tabs>
        <w:tab w:val="center" w:pos="4680"/>
        <w:tab w:val="right" w:pos="9360"/>
      </w:tabs>
      <w:spacing w:line="240" w:lineRule="auto"/>
    </w:pPr>
  </w:style>
  <w:style w:type="character" w:styleId="FooterChar" w:customStyle="1">
    <w:name w:val="Footer Char"/>
    <w:basedOn w:val="DefaultParagraphFont"/>
    <w:link w:val="Footer"/>
    <w:uiPriority w:val="99"/>
    <w:rsid w:val="00624B14"/>
  </w:style>
  <w:style w:type="paragraph" w:styleId="FootnoteText">
    <w:name w:val="footnote text"/>
    <w:basedOn w:val="Normal"/>
    <w:link w:val="FootnoteTextChar"/>
    <w:uiPriority w:val="99"/>
    <w:semiHidden w:val="1"/>
    <w:unhideWhenUsed w:val="1"/>
    <w:rsid w:val="008C3CB3"/>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8C3CB3"/>
    <w:rPr>
      <w:sz w:val="20"/>
      <w:szCs w:val="20"/>
    </w:rPr>
  </w:style>
  <w:style w:type="character" w:styleId="FootnoteReference">
    <w:name w:val="footnote reference"/>
    <w:basedOn w:val="DefaultParagraphFont"/>
    <w:uiPriority w:val="99"/>
    <w:semiHidden w:val="1"/>
    <w:unhideWhenUsed w:val="1"/>
    <w:rsid w:val="008C3CB3"/>
    <w:rPr>
      <w:vertAlign w:val="superscript"/>
    </w:rPr>
  </w:style>
  <w:style w:type="paragraph" w:styleId="Revision">
    <w:name w:val="Revision"/>
    <w:hidden w:val="1"/>
    <w:uiPriority w:val="99"/>
    <w:semiHidden w:val="1"/>
    <w:rsid w:val="001D007A"/>
    <w:pPr>
      <w:spacing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cga.ct.gov/current/pub/chap_220.htm#sec_12-436" TargetMode="External"/><Relationship Id="rId10" Type="http://schemas.openxmlformats.org/officeDocument/2006/relationships/footer" Target="footer1.xml"/><Relationship Id="rId12" Type="http://schemas.openxmlformats.org/officeDocument/2006/relationships/hyperlink" Target="https://www.cga.ct.gov/current/pub/chap_545.htm#sec_30-16" TargetMode="Externa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s://www.cga.ct.gov/2021/ACT/PA/PDF/2021PA-00037-R00HB-06100-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saG7+d+Bn+fTpkeXN722nG5Dw==">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2021-08-16T14:05:00Z</dcterms:created>
</cp:coreProperties>
</file>